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24" w:rsidRPr="00894E24" w:rsidRDefault="00894E24" w:rsidP="00894E24">
      <w:pPr>
        <w:pStyle w:val="10"/>
        <w:rPr>
          <w:lang w:val="be-BY"/>
        </w:rPr>
      </w:pPr>
      <w:bookmarkStart w:id="0" w:name="_Toc323809552"/>
      <w:bookmarkStart w:id="1" w:name="_Toc323807584"/>
      <w:proofErr w:type="spellStart"/>
      <w:r>
        <w:t>Код</w:t>
      </w:r>
      <w:r w:rsidRPr="00894E24">
        <w:t>э</w:t>
      </w:r>
      <w:r>
        <w:t>кс</w:t>
      </w:r>
      <w:proofErr w:type="spellEnd"/>
      <w:r>
        <w:t xml:space="preserve"> </w:t>
      </w:r>
      <w:proofErr w:type="spellStart"/>
      <w:r>
        <w:t>паводзінаў</w:t>
      </w:r>
      <w:proofErr w:type="spellEnd"/>
      <w:r>
        <w:t xml:space="preserve"> </w:t>
      </w:r>
      <w:proofErr w:type="spellStart"/>
      <w:r>
        <w:t>удзельніка</w:t>
      </w:r>
      <w:proofErr w:type="spellEnd"/>
      <w:r>
        <w:t xml:space="preserve"> </w:t>
      </w:r>
      <w:bookmarkEnd w:id="0"/>
      <w:bookmarkEnd w:id="1"/>
      <w:r>
        <w:rPr>
          <w:lang w:val="be-BY"/>
        </w:rPr>
        <w:t xml:space="preserve">Кампаніі “Праваабаронцы за свабодныя выбары”. </w:t>
      </w:r>
    </w:p>
    <w:p w:rsidR="00894E24" w:rsidRDefault="00894E24" w:rsidP="00894E24">
      <w:pPr>
        <w:jc w:val="both"/>
        <w:rPr>
          <w:b/>
        </w:rPr>
      </w:pPr>
    </w:p>
    <w:p w:rsidR="00894E24" w:rsidRDefault="00894E24" w:rsidP="00894E24">
      <w:pPr>
        <w:jc w:val="both"/>
        <w:rPr>
          <w:b/>
        </w:rPr>
      </w:pPr>
    </w:p>
    <w:p w:rsidR="00894E24" w:rsidRDefault="00894E24" w:rsidP="00894E24">
      <w:pPr>
        <w:jc w:val="both"/>
        <w:rPr>
          <w:b/>
        </w:rPr>
      </w:pPr>
    </w:p>
    <w:p w:rsidR="00894E24" w:rsidRDefault="00894E24" w:rsidP="00894E24">
      <w:pPr>
        <w:jc w:val="both"/>
        <w:rPr>
          <w:b/>
        </w:rPr>
      </w:pPr>
      <w:r>
        <w:rPr>
          <w:b/>
        </w:rPr>
        <w:t>ПАВАЖАНЫЯ НАЗІРАЛЬНІКІ!</w:t>
      </w:r>
    </w:p>
    <w:p w:rsidR="00894E24" w:rsidRDefault="00894E24" w:rsidP="00894E24">
      <w:pPr>
        <w:jc w:val="both"/>
        <w:rPr>
          <w:b/>
        </w:rPr>
      </w:pPr>
    </w:p>
    <w:p w:rsidR="00894E24" w:rsidRDefault="00894E24" w:rsidP="00894E24">
      <w:pPr>
        <w:jc w:val="both"/>
        <w:rPr>
          <w:b/>
        </w:rPr>
      </w:pPr>
      <w:r>
        <w:rPr>
          <w:b/>
        </w:rPr>
        <w:t>Вы з’яўляецеся ўдзельнікамі кампаніі нацыянальнага доўгатэрміновага назірання за парламенцкімі выбарамі ў Беларусі “Правабаронцы за свабодныя выбары”.</w:t>
      </w:r>
    </w:p>
    <w:p w:rsidR="00894E24" w:rsidRDefault="00894E24" w:rsidP="00894E24">
      <w:pPr>
        <w:jc w:val="both"/>
        <w:rPr>
          <w:b/>
        </w:rPr>
      </w:pPr>
      <w:r>
        <w:rPr>
          <w:b/>
        </w:rPr>
        <w:t xml:space="preserve">Гэта каманда аднадумцаў і прафесіяналаў, перакананых у тым, што Беларусь не можа лічыцца прававой дзяржавай, пакуль у ёй не адбываюцца свабодныя і справядлівыя выбары, адпавядаючыя міжнародным стандартам. </w:t>
      </w:r>
    </w:p>
    <w:p w:rsidR="00894E24" w:rsidRDefault="00894E24" w:rsidP="00894E24">
      <w:pPr>
        <w:jc w:val="both"/>
        <w:rPr>
          <w:b/>
        </w:rPr>
      </w:pPr>
      <w:r>
        <w:rPr>
          <w:b/>
        </w:rPr>
        <w:t>Мы рады Вас вітаць у нашай камандзе.</w:t>
      </w:r>
    </w:p>
    <w:p w:rsidR="00894E24" w:rsidRDefault="00894E24" w:rsidP="00894E24">
      <w:pPr>
        <w:jc w:val="both"/>
        <w:rPr>
          <w:b/>
        </w:rPr>
      </w:pPr>
      <w:r>
        <w:rPr>
          <w:b/>
        </w:rPr>
        <w:t>Менавіта ад працы доўгатэрміновых назіральнікаў залежыць, наколькі наша місія будзе паспяховай. У выніку нашай працы мы зможам зрабіць высновы: ці былі выбары ў Беларусі прыкладам свабоднага волевыяўлення беларускага народу, ці прайшлі з грубейшымі сістэмнымі парушэннямі.</w:t>
      </w:r>
    </w:p>
    <w:p w:rsidR="00894E24" w:rsidRDefault="00894E24" w:rsidP="00894E24">
      <w:pPr>
        <w:jc w:val="both"/>
        <w:rPr>
          <w:b/>
        </w:rPr>
      </w:pPr>
      <w:r>
        <w:rPr>
          <w:b/>
        </w:rPr>
        <w:t>Мы не прадстаўляем ніводнага з кандыдатаў, мы баронім права грамадзянаў Беларусі самім абіраць сабе ўладу.</w:t>
      </w:r>
    </w:p>
    <w:p w:rsidR="00894E24" w:rsidRDefault="00894E24" w:rsidP="00894E24">
      <w:pPr>
        <w:jc w:val="both"/>
        <w:rPr>
          <w:b/>
        </w:rPr>
      </w:pPr>
      <w:r>
        <w:rPr>
          <w:b/>
        </w:rPr>
        <w:t>Да працы нацыянальных незалежных назіральнікаў ставяцца з вялікай павагай і цікаўнасцю, наша кампанія за часы сваёй працы з 2008 года зарэкамендавала сябе як прафесійная і аб’ектыўная.</w:t>
      </w:r>
    </w:p>
    <w:p w:rsidR="00894E24" w:rsidRDefault="00894E24" w:rsidP="00894E24">
      <w:pPr>
        <w:jc w:val="both"/>
        <w:rPr>
          <w:b/>
        </w:rPr>
      </w:pPr>
      <w:r>
        <w:rPr>
          <w:b/>
        </w:rPr>
        <w:t xml:space="preserve">Да нашых высноваў існуе вялікая ўвага калег з міжнародных місій па назіранні – БДІПЧ АБСЕ, ПА СНД, а таксама амбасадаў, нацыянальных і замежных СМІ. Нашы ацэнкі і выказванні ўважліва аналізуюць і беларускія ўлады.  </w:t>
      </w:r>
    </w:p>
    <w:p w:rsidR="00894E24" w:rsidRDefault="00894E24" w:rsidP="00894E24">
      <w:pPr>
        <w:jc w:val="both"/>
        <w:rPr>
          <w:b/>
        </w:rPr>
      </w:pPr>
      <w:r>
        <w:rPr>
          <w:b/>
        </w:rPr>
        <w:t xml:space="preserve">Таму мы павінны ўстрымлівацца ад ацэнак, паводзінаў, якія супярэчаць прынцыпам незалежнага назірання. </w:t>
      </w:r>
    </w:p>
    <w:p w:rsidR="00894E24" w:rsidRDefault="00894E24" w:rsidP="00894E24">
      <w:pPr>
        <w:jc w:val="both"/>
        <w:rPr>
          <w:b/>
        </w:rPr>
      </w:pPr>
      <w:r>
        <w:rPr>
          <w:b/>
        </w:rPr>
        <w:t xml:space="preserve">Мы заклікаем Вас быць бесстароннімі, стрыманымі і адказнымі. </w:t>
      </w:r>
    </w:p>
    <w:p w:rsidR="00894E24" w:rsidRDefault="00894E24" w:rsidP="00894E24">
      <w:pPr>
        <w:jc w:val="both"/>
        <w:rPr>
          <w:b/>
        </w:rPr>
      </w:pPr>
      <w:r>
        <w:rPr>
          <w:b/>
        </w:rPr>
        <w:t>Кіраўніцтва кампаніі “Праваабаронцы за свабодныя выбары” будзе імкнуцца зрабіць Вашу працу максімальна зручнай і бяспечнай.</w:t>
      </w:r>
    </w:p>
    <w:p w:rsidR="00894E24" w:rsidRDefault="00894E24" w:rsidP="00894E24">
      <w:pPr>
        <w:jc w:val="both"/>
        <w:rPr>
          <w:b/>
        </w:rPr>
      </w:pPr>
      <w:r>
        <w:rPr>
          <w:b/>
        </w:rPr>
        <w:t xml:space="preserve">  </w:t>
      </w:r>
    </w:p>
    <w:p w:rsidR="00894E24" w:rsidRDefault="00894E24" w:rsidP="00894E24">
      <w:pPr>
        <w:jc w:val="both"/>
        <w:rPr>
          <w:b/>
        </w:rPr>
      </w:pPr>
    </w:p>
    <w:p w:rsidR="00894E24" w:rsidRDefault="00894E24" w:rsidP="00894E24">
      <w:pPr>
        <w:numPr>
          <w:ilvl w:val="0"/>
          <w:numId w:val="1"/>
        </w:numPr>
        <w:jc w:val="both"/>
      </w:pPr>
      <w:r>
        <w:t xml:space="preserve">Удзельнік маніторынга не можа ўваходзіць у выбарчыя штабы палітычных партый, асобных кандыдатаў, а таксама аказваць любую дапамогу, скіраваную на іх вылучэнне ці агітацыю. </w:t>
      </w:r>
    </w:p>
    <w:p w:rsidR="00894E24" w:rsidRDefault="00894E24" w:rsidP="00894E24">
      <w:pPr>
        <w:numPr>
          <w:ilvl w:val="0"/>
          <w:numId w:val="1"/>
        </w:numPr>
        <w:jc w:val="both"/>
        <w:rPr>
          <w:b/>
        </w:rPr>
      </w:pPr>
      <w:r>
        <w:t>Удзельнік маніторынга павінен аформіць свае паўнамоцтвы назіральніка ў парадку, які ўстаноўлены заканадаўствам, мець пры сабе пасведчанне асобы.</w:t>
      </w:r>
    </w:p>
    <w:p w:rsidR="00894E24" w:rsidRDefault="00894E24" w:rsidP="00894E24">
      <w:pPr>
        <w:numPr>
          <w:ilvl w:val="0"/>
          <w:numId w:val="1"/>
        </w:numPr>
        <w:jc w:val="both"/>
      </w:pPr>
      <w:r>
        <w:t>Удзельнік маніторынга павінен выконваць свае абавязкі падчас усяго перыяду правядзення выбарчай кампаніі, галасавання і правядзення падліку галасоў.</w:t>
      </w:r>
    </w:p>
    <w:p w:rsidR="00894E24" w:rsidRDefault="00894E24" w:rsidP="00894E24">
      <w:pPr>
        <w:numPr>
          <w:ilvl w:val="0"/>
          <w:numId w:val="1"/>
        </w:numPr>
        <w:jc w:val="both"/>
      </w:pPr>
      <w:r>
        <w:t xml:space="preserve">Удзельнік маніторынга павінен захоўваць строгую бесстароннасць пры выкананні сваіх абавязкаў і ні ў якім разе не можа выказваць перавагу ў адносінах да партый, кандыдатаў ці адносна якіх-небудзь спрэчных пытанняў, якія ўзнікаюць падчас выбараў. </w:t>
      </w:r>
    </w:p>
    <w:p w:rsidR="00894E24" w:rsidRDefault="00894E24" w:rsidP="00894E24">
      <w:pPr>
        <w:numPr>
          <w:ilvl w:val="0"/>
          <w:numId w:val="1"/>
        </w:numPr>
        <w:jc w:val="both"/>
      </w:pPr>
      <w:r>
        <w:t xml:space="preserve">Удзельнік маніторынга павінен выконваць свае абавязкі ў ненавязлівай манеры і не павінен умешвацца ў выбарчы працэс. </w:t>
      </w:r>
    </w:p>
    <w:p w:rsidR="00894E24" w:rsidRDefault="00894E24" w:rsidP="00894E24">
      <w:pPr>
        <w:numPr>
          <w:ilvl w:val="0"/>
          <w:numId w:val="1"/>
        </w:numPr>
        <w:jc w:val="both"/>
      </w:pPr>
      <w:r>
        <w:t xml:space="preserve">Назіральнік мае права камунікаваць з СМІ, даваць каментары і ацэнкі толькі ў межах сваёй тэрытарыяльнай прыналежнасці. </w:t>
      </w:r>
    </w:p>
    <w:p w:rsidR="00894E24" w:rsidRDefault="00894E24" w:rsidP="00894E24">
      <w:pPr>
        <w:numPr>
          <w:ilvl w:val="0"/>
          <w:numId w:val="1"/>
        </w:numPr>
        <w:jc w:val="both"/>
      </w:pPr>
      <w:r>
        <w:t>Удзельнік маніторынга, які мае паўнамоцтвы назіральніка, можа задаваць пытанні прадстаўнікам выбарчых камісій і органаў улады, прыцягваць іх увагу да невыканання заканадаўства, у тым ліку – падаваць скаргі ва ўстаноўленым парадку.</w:t>
      </w:r>
    </w:p>
    <w:p w:rsidR="00894E24" w:rsidRDefault="00894E24" w:rsidP="00894E24">
      <w:pPr>
        <w:numPr>
          <w:ilvl w:val="0"/>
          <w:numId w:val="1"/>
        </w:numPr>
        <w:jc w:val="both"/>
      </w:pPr>
      <w:r>
        <w:t>Высновы і заключэнні ўдзельніка маніторынга павінны быць заснаваны на асабістых назіраннях ці на выразных і пераканаўчых фактах і доказах.</w:t>
      </w:r>
    </w:p>
    <w:p w:rsidR="00894E24" w:rsidRDefault="00894E24" w:rsidP="00894E24">
      <w:pPr>
        <w:numPr>
          <w:ilvl w:val="0"/>
          <w:numId w:val="1"/>
        </w:numPr>
        <w:jc w:val="both"/>
      </w:pPr>
      <w:r>
        <w:lastRenderedPageBreak/>
        <w:t>Удзельнік маніторынга не павінен падвяргаць сябе празмернай рызыцы.</w:t>
      </w:r>
    </w:p>
    <w:p w:rsidR="00894E24" w:rsidRDefault="00894E24" w:rsidP="00894E24">
      <w:pPr>
        <w:ind w:left="360"/>
        <w:jc w:val="both"/>
      </w:pPr>
    </w:p>
    <w:p w:rsidR="00894E24" w:rsidRDefault="00894E24" w:rsidP="00894E24">
      <w:pPr>
        <w:spacing w:line="360" w:lineRule="auto"/>
        <w:jc w:val="both"/>
        <w:rPr>
          <w:i/>
          <w:iCs/>
        </w:rPr>
      </w:pPr>
    </w:p>
    <w:p w:rsidR="00894E24" w:rsidRDefault="00894E24" w:rsidP="00894E24">
      <w:pPr>
        <w:jc w:val="both"/>
        <w:rPr>
          <w:i/>
          <w:iCs/>
        </w:rPr>
      </w:pPr>
      <w:r>
        <w:rPr>
          <w:i/>
          <w:iCs/>
        </w:rPr>
        <w:t>Дадзены Кодэкс распрацаваны дзеля таго, каб паводзіны ўсіх удзельнікаў сістэмы маніторынгу адпавядалі высокім прафесійным і асабістым стандартам.</w:t>
      </w:r>
    </w:p>
    <w:p w:rsidR="00894E24" w:rsidRPr="00894E24" w:rsidRDefault="00894E24" w:rsidP="00894E24">
      <w:pPr>
        <w:rPr>
          <w:b/>
        </w:rPr>
      </w:pPr>
      <w:bookmarkStart w:id="2" w:name="_Toc323809553"/>
      <w:bookmarkStart w:id="3" w:name="_Toc323807585"/>
    </w:p>
    <w:p w:rsidR="00894E24" w:rsidRPr="00894E24" w:rsidRDefault="00894E24" w:rsidP="00894E24">
      <w:pPr>
        <w:rPr>
          <w:b/>
        </w:rPr>
      </w:pPr>
      <w:r w:rsidRPr="00894E24">
        <w:rPr>
          <w:b/>
        </w:rPr>
        <w:t>І. Паўнамоцтвы і абавязкі рэгіянальных каардынатараў</w:t>
      </w:r>
      <w:bookmarkEnd w:id="2"/>
      <w:bookmarkEnd w:id="3"/>
    </w:p>
    <w:p w:rsidR="00894E24" w:rsidRPr="00894E24" w:rsidRDefault="00894E24" w:rsidP="00894E24">
      <w:pPr>
        <w:jc w:val="both"/>
        <w:rPr>
          <w:b/>
        </w:rPr>
      </w:pPr>
    </w:p>
    <w:p w:rsidR="00894E24" w:rsidRDefault="00894E24" w:rsidP="00894E24">
      <w:pPr>
        <w:jc w:val="both"/>
      </w:pPr>
      <w:r>
        <w:t xml:space="preserve">Рэгіянальныя каардынатары з’яўляюцца важным звяном сістэмы даўгатэрміновага маніторынга выбарчай кампаніі. </w:t>
      </w:r>
    </w:p>
    <w:p w:rsidR="00894E24" w:rsidRDefault="00894E24" w:rsidP="00894E24">
      <w:pPr>
        <w:jc w:val="both"/>
      </w:pPr>
      <w:r>
        <w:t>Рэгіянальныя каардынатары дзейнічаюць згодна з Кодэксам паводзінаў назіральніка і сочаць за яго выкананнем падведамаснымі яму назіральнікамі.</w:t>
      </w:r>
    </w:p>
    <w:p w:rsidR="00894E24" w:rsidRDefault="00894E24" w:rsidP="00894E24">
      <w:pPr>
        <w:tabs>
          <w:tab w:val="num" w:pos="360"/>
        </w:tabs>
        <w:jc w:val="both"/>
        <w:rPr>
          <w:b/>
          <w:i/>
          <w:iCs/>
        </w:rPr>
      </w:pPr>
      <w:r>
        <w:rPr>
          <w:b/>
          <w:i/>
          <w:iCs/>
        </w:rPr>
        <w:t>Да пачатку выбарчай кампаніі рэгіянальныя каардынатары:</w:t>
      </w:r>
    </w:p>
    <w:p w:rsidR="00894E24" w:rsidRDefault="00894E24" w:rsidP="00894E24">
      <w:pPr>
        <w:numPr>
          <w:ilvl w:val="2"/>
          <w:numId w:val="2"/>
        </w:numPr>
        <w:ind w:left="993" w:hanging="426"/>
        <w:jc w:val="both"/>
      </w:pPr>
      <w:r>
        <w:t>вядуць падбор кандыдатур доўгатэрміновых назіральнікаў з найбольш падрыхтаваных, аб’ектыўных і аўтарытэтных актывістаў;</w:t>
      </w:r>
    </w:p>
    <w:p w:rsidR="00894E24" w:rsidRDefault="00894E24" w:rsidP="00894E24">
      <w:pPr>
        <w:numPr>
          <w:ilvl w:val="2"/>
          <w:numId w:val="2"/>
        </w:numPr>
        <w:ind w:left="993" w:hanging="426"/>
        <w:jc w:val="both"/>
      </w:pPr>
      <w:r>
        <w:t>узгадняюць з цэнтральным офісам даты і месца правядзення навучальных мерапры</w:t>
      </w:r>
      <w:bookmarkStart w:id="4" w:name="_GoBack"/>
      <w:bookmarkEnd w:id="4"/>
      <w:r>
        <w:t>емстваў;</w:t>
      </w:r>
    </w:p>
    <w:p w:rsidR="00894E24" w:rsidRDefault="00894E24" w:rsidP="00894E24">
      <w:pPr>
        <w:numPr>
          <w:ilvl w:val="2"/>
          <w:numId w:val="2"/>
        </w:numPr>
        <w:ind w:left="993" w:hanging="426"/>
        <w:jc w:val="both"/>
      </w:pPr>
      <w:r>
        <w:t>забяспечвацюць удзел доўгатэрміновых назіральнікаў у навучанні.</w:t>
      </w:r>
    </w:p>
    <w:p w:rsidR="00894E24" w:rsidRDefault="00894E24" w:rsidP="00894E24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Падчас выбарчай кампаніі рэгіянальныя каардынатары:</w:t>
      </w:r>
    </w:p>
    <w:p w:rsidR="00894E24" w:rsidRDefault="00894E24" w:rsidP="00894E24">
      <w:pPr>
        <w:numPr>
          <w:ilvl w:val="2"/>
          <w:numId w:val="2"/>
        </w:numPr>
        <w:ind w:left="993" w:hanging="426"/>
        <w:jc w:val="both"/>
      </w:pPr>
      <w:r>
        <w:t>размяркоўваюць паміж доўгатэрміновымі назіральнікамі тэрыторыю дзейнасці;</w:t>
      </w:r>
    </w:p>
    <w:p w:rsidR="00894E24" w:rsidRDefault="00894E24" w:rsidP="00894E24">
      <w:pPr>
        <w:numPr>
          <w:ilvl w:val="2"/>
          <w:numId w:val="2"/>
        </w:numPr>
        <w:ind w:left="993" w:hanging="426"/>
        <w:jc w:val="both"/>
      </w:pPr>
      <w:r>
        <w:t xml:space="preserve">удакладняюць функцыі і задачы доўгатэрміновых назіральнікаў; </w:t>
      </w:r>
    </w:p>
    <w:p w:rsidR="00894E24" w:rsidRDefault="00894E24" w:rsidP="00894E24">
      <w:pPr>
        <w:numPr>
          <w:ilvl w:val="2"/>
          <w:numId w:val="2"/>
        </w:numPr>
        <w:ind w:left="993" w:hanging="426"/>
        <w:jc w:val="both"/>
      </w:pPr>
      <w:r>
        <w:t>даводзяць да назіральнікаў пастаўленыя задачы і неабходную інфармацыю, аказваюць неабходную дапамогу, каардынуюць і кантралююць іх працу;</w:t>
      </w:r>
    </w:p>
    <w:p w:rsidR="00894E24" w:rsidRDefault="00894E24" w:rsidP="00894E24">
      <w:pPr>
        <w:numPr>
          <w:ilvl w:val="2"/>
          <w:numId w:val="2"/>
        </w:numPr>
        <w:ind w:left="993" w:hanging="426"/>
        <w:jc w:val="both"/>
      </w:pPr>
      <w:r>
        <w:t>адказваюць за сваечасовую і якасную зваротную сувязь паміж цэнтральным офісам і доўгатэрміновымі назіральнікамі з улікам тэхнічных срокаў, якія маюцца ў наяўнасці;</w:t>
      </w:r>
    </w:p>
    <w:p w:rsidR="00894E24" w:rsidRDefault="00894E24" w:rsidP="00894E24">
      <w:pPr>
        <w:numPr>
          <w:ilvl w:val="2"/>
          <w:numId w:val="2"/>
        </w:numPr>
        <w:ind w:left="993" w:hanging="426"/>
        <w:jc w:val="both"/>
      </w:pPr>
      <w:r>
        <w:t>атрымліваюць справаздачы назіральнікаў і праводзяць іх аналіз;</w:t>
      </w:r>
    </w:p>
    <w:p w:rsidR="00894E24" w:rsidRDefault="00894E24" w:rsidP="00894E24">
      <w:pPr>
        <w:numPr>
          <w:ilvl w:val="2"/>
          <w:numId w:val="2"/>
        </w:numPr>
        <w:ind w:left="993" w:hanging="426"/>
        <w:jc w:val="both"/>
      </w:pPr>
      <w:r>
        <w:rPr>
          <w:b/>
          <w:bCs/>
        </w:rPr>
        <w:t>кожны тыдзень</w:t>
      </w:r>
      <w:r>
        <w:t xml:space="preserve"> кантралююць адпраўку доўгатэрміновымі назіральнікамі  тыднёвых справаздач, згодна з графікам, зацверджаным цэнтральным офісам;</w:t>
      </w:r>
    </w:p>
    <w:p w:rsidR="00894E24" w:rsidRDefault="00894E24" w:rsidP="00894E24">
      <w:pPr>
        <w:numPr>
          <w:ilvl w:val="2"/>
          <w:numId w:val="2"/>
        </w:numPr>
        <w:ind w:left="993" w:hanging="426"/>
        <w:jc w:val="both"/>
      </w:pPr>
      <w:r>
        <w:t>кантралююць адпраўку доўгатэрміновымі назіральнікамі  этапных справаздач;</w:t>
      </w:r>
    </w:p>
    <w:p w:rsidR="00894E24" w:rsidRDefault="00894E24" w:rsidP="00894E24">
      <w:pPr>
        <w:numPr>
          <w:ilvl w:val="2"/>
          <w:numId w:val="2"/>
        </w:numPr>
        <w:ind w:left="993" w:hanging="426"/>
        <w:jc w:val="both"/>
      </w:pPr>
      <w:r>
        <w:t>у выпадку неабходнасці – удакладняюць і правяраюць дакладнасць і абгрунтаванасць атрыманай інфармацыі і перадаюць яе ў цэнтральны офіс разам з першаснымі матэрыяламі.</w:t>
      </w:r>
    </w:p>
    <w:p w:rsidR="00894E24" w:rsidRDefault="00894E24" w:rsidP="00894E24">
      <w:pPr>
        <w:ind w:left="540"/>
        <w:jc w:val="both"/>
      </w:pPr>
    </w:p>
    <w:p w:rsidR="00894E24" w:rsidRDefault="00894E24" w:rsidP="00894E24">
      <w:pPr>
        <w:pStyle w:val="10"/>
        <w:rPr>
          <w:lang w:val="be-BY"/>
        </w:rPr>
      </w:pPr>
      <w:bookmarkStart w:id="5" w:name="_Toc323809554"/>
      <w:bookmarkStart w:id="6" w:name="_Toc323807586"/>
      <w:r>
        <w:rPr>
          <w:lang w:val="be-BY"/>
        </w:rPr>
        <w:t>ІІ. Паўнамоцтвы і абавязкі доўгатэрміновых назіральнікаў</w:t>
      </w:r>
      <w:bookmarkEnd w:id="5"/>
      <w:bookmarkEnd w:id="6"/>
    </w:p>
    <w:p w:rsidR="00894E24" w:rsidRDefault="00894E24" w:rsidP="00894E24">
      <w:pPr>
        <w:jc w:val="both"/>
        <w:rPr>
          <w:b/>
        </w:rPr>
      </w:pPr>
    </w:p>
    <w:p w:rsidR="00894E24" w:rsidRDefault="00894E24" w:rsidP="00894E24">
      <w:pPr>
        <w:ind w:firstLine="540"/>
        <w:jc w:val="both"/>
      </w:pPr>
      <w:r>
        <w:t>Доўгатэрміновыя назіральнікі (ДТН) з’яўляюцца асноўным звяном сістэмы маніторынга выбараў. Дзейнасць ДТН пачынаецца з моманту абвяшчэння выбараў і заканчваецца пасля падвядзення вынікаў галасавання ў выбарчых акругах.</w:t>
      </w:r>
    </w:p>
    <w:p w:rsidR="00894E24" w:rsidRDefault="00894E24" w:rsidP="00894E24">
      <w:pPr>
        <w:ind w:firstLine="540"/>
        <w:jc w:val="both"/>
      </w:pPr>
      <w:r>
        <w:t>У сваёй дзейнасці ДТН кіруюцца дзеючым заканадаўствам Рэспублікі Беларусь і міжнароднымі стандартамі свабодных і справядлівых выбараў, Кодэксам паводзінаў назіральнікаў, даручэннямі і распараджэннямі цэнтральнага офісу і рэгіянальных каардынатараў.</w:t>
      </w:r>
    </w:p>
    <w:p w:rsidR="00894E24" w:rsidRDefault="00894E24" w:rsidP="00894E24">
      <w:pPr>
        <w:ind w:firstLine="540"/>
        <w:jc w:val="both"/>
      </w:pPr>
      <w:r>
        <w:t>Падчас выбарчай кампаніі ДТН устанаўліваюць кантакты з палітычнымі партыямі, незалежнымі кандыдатамі і іх выбарчымі штабамі, няўрадавымі арганізацыямі, якія маюць адносіны да палітычнага працэсу.</w:t>
      </w:r>
    </w:p>
    <w:p w:rsidR="00894E24" w:rsidRDefault="00894E24" w:rsidP="00894E24">
      <w:pPr>
        <w:ind w:firstLine="540"/>
        <w:jc w:val="both"/>
      </w:pPr>
    </w:p>
    <w:p w:rsidR="00894E24" w:rsidRDefault="00894E24" w:rsidP="00894E24">
      <w:pPr>
        <w:ind w:firstLine="540"/>
        <w:jc w:val="both"/>
      </w:pPr>
      <w:r>
        <w:t>Доўгатэрміновыя назіральнікі ажыццяўляюць маніторынг усіх этапаў выбарчай кампаніі:</w:t>
      </w:r>
    </w:p>
    <w:p w:rsidR="00894E24" w:rsidRDefault="00894E24" w:rsidP="00894E2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Агульныя ацэнкі ад імя кампаніі робяць каардынатары кампаніі, альбо ўпаўнаважаныя прадстаўнікі штаба кампаніі. </w:t>
      </w:r>
    </w:p>
    <w:p w:rsidR="00894E24" w:rsidRDefault="00894E24" w:rsidP="00894E2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Назіральнікі не маюць права без узгаднення з штабам кампаніі камунікаваць з прадстаўнікамі нацыянальных органаў Уладаў. </w:t>
      </w:r>
    </w:p>
    <w:p w:rsidR="00894E24" w:rsidRDefault="00894E24" w:rsidP="00894E24">
      <w:pPr>
        <w:numPr>
          <w:ilvl w:val="2"/>
          <w:numId w:val="2"/>
        </w:numPr>
        <w:ind w:left="993" w:hanging="426"/>
        <w:jc w:val="both"/>
      </w:pPr>
      <w:r>
        <w:t>выконваюць арганізацыйныя функцыі на замацаванай за імі тэрыторыі, шукаюць памяшканне, неабходнае для працы па маніторынгу;</w:t>
      </w:r>
    </w:p>
    <w:p w:rsidR="00894E24" w:rsidRDefault="00894E24" w:rsidP="00894E24">
      <w:pPr>
        <w:numPr>
          <w:ilvl w:val="2"/>
          <w:numId w:val="2"/>
        </w:numPr>
        <w:ind w:left="993" w:hanging="426"/>
        <w:jc w:val="both"/>
      </w:pPr>
      <w:r>
        <w:t xml:space="preserve">устанаўліваюць кантакты з міжнароднымі назіральнікамі, якія накіраваны ў адпаведны рэгіён (незалежна ад таго, якую краіну і місію яны прадстаўляюць), з мэтай інфармавання пра ход выбарчай кампаніі; </w:t>
      </w:r>
    </w:p>
    <w:p w:rsidR="00894E24" w:rsidRDefault="00894E24" w:rsidP="00894E24">
      <w:pPr>
        <w:numPr>
          <w:ilvl w:val="2"/>
          <w:numId w:val="2"/>
        </w:numPr>
        <w:ind w:left="993" w:hanging="426"/>
        <w:jc w:val="both"/>
      </w:pPr>
      <w:r>
        <w:t>аналізуюць склад і ацэньваюць эфектыўнасць дзейнасці акруговых і ўчастковых выбарчых камісій, іх незалежнасць ад органаў выканаўчай улады, празрыстасць і бесстроннасць працы;</w:t>
      </w:r>
    </w:p>
    <w:p w:rsidR="00894E24" w:rsidRDefault="00894E24" w:rsidP="00894E24">
      <w:pPr>
        <w:numPr>
          <w:ilvl w:val="2"/>
          <w:numId w:val="2"/>
        </w:numPr>
        <w:ind w:left="993" w:hanging="426"/>
        <w:jc w:val="both"/>
      </w:pPr>
      <w:r>
        <w:t>праводзяць маніторынг і аналізуюць выкананне выбарчага заканадаўства і ўстаноўленых працэдур падчас вылучэння і рэгістрацыі кандыдатаў у дэпутаты;</w:t>
      </w:r>
    </w:p>
    <w:p w:rsidR="00894E24" w:rsidRDefault="00894E24" w:rsidP="00894E24">
      <w:pPr>
        <w:numPr>
          <w:ilvl w:val="2"/>
          <w:numId w:val="2"/>
        </w:numPr>
        <w:ind w:left="993" w:hanging="426"/>
        <w:jc w:val="both"/>
      </w:pPr>
      <w:r>
        <w:t>праводзяць маніторынг перыяду агітацыі шляхам аналізу: 1) друкаваных агітацыйных матэрыялаў  кандыдатаў; 2) агітацыі праз сродкі масавай інфармацыі; 3) правядзення агітацыйных сустрэч з выбаршчыкамі.</w:t>
      </w:r>
    </w:p>
    <w:p w:rsidR="00894E24" w:rsidRDefault="00894E24" w:rsidP="00894E24">
      <w:pPr>
        <w:pStyle w:val="3"/>
        <w:numPr>
          <w:ilvl w:val="2"/>
          <w:numId w:val="2"/>
        </w:numPr>
        <w:ind w:left="993" w:hanging="426"/>
        <w:rPr>
          <w:sz w:val="24"/>
        </w:rPr>
      </w:pPr>
      <w:r>
        <w:rPr>
          <w:sz w:val="24"/>
        </w:rPr>
        <w:t>аналізуюць выкананне выбарчага заканадаўства і ўстаноўленых працэдур падчас датэрміновага галасавання і ў дзень выбараў; падчас падвядзення вынікаў выбараў на ўчастках і ў акруговых камісіях.</w:t>
      </w:r>
    </w:p>
    <w:p w:rsidR="00894E24" w:rsidRDefault="00894E24" w:rsidP="00894E24">
      <w:pPr>
        <w:pStyle w:val="3"/>
        <w:numPr>
          <w:ilvl w:val="2"/>
          <w:numId w:val="2"/>
        </w:numPr>
        <w:ind w:left="993" w:hanging="426"/>
        <w:rPr>
          <w:sz w:val="24"/>
        </w:rPr>
      </w:pPr>
      <w:r>
        <w:rPr>
          <w:sz w:val="24"/>
        </w:rPr>
        <w:t>аналізуюць дзейнасць органаў дзяржаўнай улады, звязаную з выбарамі;</w:t>
      </w:r>
    </w:p>
    <w:p w:rsidR="00894E24" w:rsidRDefault="00894E24" w:rsidP="00894E24">
      <w:pPr>
        <w:pStyle w:val="3"/>
        <w:numPr>
          <w:ilvl w:val="2"/>
          <w:numId w:val="2"/>
        </w:numPr>
        <w:ind w:left="993" w:hanging="426"/>
        <w:rPr>
          <w:sz w:val="24"/>
        </w:rPr>
      </w:pPr>
      <w:r>
        <w:rPr>
          <w:sz w:val="24"/>
        </w:rPr>
        <w:t xml:space="preserve">сочаць за ўсімі разнагалоссямі, якія ўзнікаюць у сувязі з выбарамі, скаргамі, судовымі разбіральніцтвамі і апеляцыямі; ацэньваюць, наколькі эфектыўнымі з’яўляюцца сродкі судовай абароны пры разглядзе скаргаў, звязаных з выбарамі.   </w:t>
      </w:r>
    </w:p>
    <w:p w:rsidR="00894E24" w:rsidRDefault="00894E24" w:rsidP="00894E24">
      <w:pPr>
        <w:pStyle w:val="3"/>
        <w:numPr>
          <w:ilvl w:val="2"/>
          <w:numId w:val="2"/>
        </w:numPr>
        <w:ind w:left="993" w:hanging="426"/>
        <w:rPr>
          <w:sz w:val="24"/>
        </w:rPr>
      </w:pPr>
      <w:r>
        <w:rPr>
          <w:b/>
          <w:bCs/>
          <w:sz w:val="24"/>
        </w:rPr>
        <w:t>кожны тыдзень</w:t>
      </w:r>
      <w:r>
        <w:rPr>
          <w:sz w:val="24"/>
        </w:rPr>
        <w:t xml:space="preserve"> ДТН прадстаўляюць тыднёвыя справаздачы, у якіх коратка павінны быць выкладзены вынікі назірання за бягучы перыяд. </w:t>
      </w:r>
      <w:r>
        <w:rPr>
          <w:sz w:val="24"/>
          <w:u w:val="single"/>
        </w:rPr>
        <w:t xml:space="preserve">Асабліва важная ці тэрміновая інфармацыя павінна паведамляцца </w:t>
      </w:r>
      <w:r>
        <w:rPr>
          <w:b/>
          <w:bCs/>
          <w:sz w:val="24"/>
          <w:u w:val="single"/>
        </w:rPr>
        <w:t>неадкладна</w:t>
      </w:r>
      <w:r>
        <w:rPr>
          <w:sz w:val="24"/>
        </w:rPr>
        <w:t>;</w:t>
      </w:r>
    </w:p>
    <w:p w:rsidR="00894E24" w:rsidRDefault="00894E24" w:rsidP="00894E24">
      <w:pPr>
        <w:pStyle w:val="3"/>
        <w:numPr>
          <w:ilvl w:val="2"/>
          <w:numId w:val="2"/>
        </w:numPr>
        <w:ind w:left="993" w:hanging="426"/>
        <w:rPr>
          <w:sz w:val="24"/>
        </w:rPr>
      </w:pPr>
      <w:r>
        <w:rPr>
          <w:sz w:val="24"/>
        </w:rPr>
        <w:t>у тэрміны, вызначаныя цэнтральным офісам, прадстаўляюць этапныя справаздачы;</w:t>
      </w:r>
    </w:p>
    <w:p w:rsidR="00894E24" w:rsidRDefault="00894E24" w:rsidP="00894E24">
      <w:pPr>
        <w:pStyle w:val="3"/>
        <w:numPr>
          <w:ilvl w:val="2"/>
          <w:numId w:val="2"/>
        </w:numPr>
        <w:ind w:left="993" w:hanging="426"/>
        <w:rPr>
          <w:sz w:val="24"/>
        </w:rPr>
      </w:pPr>
      <w:r>
        <w:rPr>
          <w:sz w:val="24"/>
        </w:rPr>
        <w:t xml:space="preserve">працуюць ва ўзаемадзеянні з рэгіянальнымі юрыстамі і журналістамі місіі. </w:t>
      </w:r>
    </w:p>
    <w:p w:rsidR="00894E24" w:rsidRDefault="00894E24" w:rsidP="00894E24">
      <w:pPr>
        <w:ind w:firstLine="540"/>
        <w:jc w:val="both"/>
      </w:pPr>
    </w:p>
    <w:p w:rsidR="008A6EB1" w:rsidRDefault="008A6EB1"/>
    <w:sectPr w:rsidR="008A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4C1"/>
    <w:multiLevelType w:val="hybridMultilevel"/>
    <w:tmpl w:val="A498E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87F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4AA060">
      <w:numFmt w:val="bullet"/>
      <w:lvlText w:val=""/>
      <w:lvlJc w:val="left"/>
      <w:pPr>
        <w:tabs>
          <w:tab w:val="num" w:pos="2955"/>
        </w:tabs>
        <w:ind w:left="2955" w:hanging="975"/>
      </w:pPr>
      <w:rPr>
        <w:rFonts w:ascii="Wingdings" w:eastAsia="Times New Roman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87E52"/>
    <w:multiLevelType w:val="hybridMultilevel"/>
    <w:tmpl w:val="EC32C36C"/>
    <w:lvl w:ilvl="0" w:tplc="EF4AA060">
      <w:numFmt w:val="bullet"/>
      <w:lvlText w:val=""/>
      <w:lvlJc w:val="left"/>
      <w:pPr>
        <w:ind w:left="126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9555D86"/>
    <w:multiLevelType w:val="multilevel"/>
    <w:tmpl w:val="A4E0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8" w:hanging="528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24"/>
    <w:rsid w:val="00894E24"/>
    <w:rsid w:val="008A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78C05-E284-4C3E-AA59-8A88E32E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94E24"/>
    <w:pPr>
      <w:ind w:left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94E24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a3">
    <w:name w:val="List Paragraph"/>
    <w:basedOn w:val="a"/>
    <w:qFormat/>
    <w:rsid w:val="00894E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Стиль1 Знак"/>
    <w:basedOn w:val="a0"/>
    <w:link w:val="10"/>
    <w:locked/>
    <w:rsid w:val="00894E24"/>
    <w:rPr>
      <w:b/>
      <w:sz w:val="28"/>
      <w:szCs w:val="28"/>
    </w:rPr>
  </w:style>
  <w:style w:type="paragraph" w:customStyle="1" w:styleId="10">
    <w:name w:val="Стиль1"/>
    <w:basedOn w:val="a"/>
    <w:link w:val="1"/>
    <w:qFormat/>
    <w:rsid w:val="00894E24"/>
    <w:pPr>
      <w:jc w:val="both"/>
    </w:pPr>
    <w:rPr>
      <w:rFonts w:asciiTheme="minorHAnsi" w:eastAsiaTheme="minorHAnsi" w:hAnsiTheme="minorHAnsi" w:cstheme="minorBidi"/>
      <w:b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Uladz</dc:creator>
  <cp:keywords/>
  <dc:description/>
  <cp:lastModifiedBy>Uladz</cp:lastModifiedBy>
  <cp:revision>1</cp:revision>
  <dcterms:created xsi:type="dcterms:W3CDTF">2019-08-27T10:38:00Z</dcterms:created>
  <dcterms:modified xsi:type="dcterms:W3CDTF">2019-08-27T10:40:00Z</dcterms:modified>
</cp:coreProperties>
</file>